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rPr/>
      </w:pPr>
      <w:r>
        <w:rPr>
          <w:noProof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393065</wp:posOffset>
            </wp:positionH>
            <wp:positionV relativeFrom="page">
              <wp:posOffset>899795</wp:posOffset>
            </wp:positionV>
            <wp:extent cx="488988" cy="648000"/>
            <wp:effectExtent xmlns:wp="http://schemas.openxmlformats.org/drawingml/2006/wordprocessingDrawing" l="0" t="0" r="6350" b="0"/>
            <wp:wrapSquare wrapText="bothSides"/>
            <wp:docPr id="1" descr="Grb Hrvatske - Wikipedia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88" cy="6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Theme="majorHAnsi" w:hAnsiTheme="majorHAnsi" w:cstheme="majorHAnsi"/>
                <w:sz w:val="6"/>
              </w:rPr>
            </w:pPr>
            <w:bookmarkStart w:id="2" w:name="_Hlk128748807"/>
          </w:p>
          <w:p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REPUBLIKA HRVATSKA</w:t>
            </w:r>
          </w:p>
          <w:p>
            <w:pPr>
              <w:spacing w:line="259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DJEČJI VRTIĆ MILNA</w:t>
            </w:r>
          </w:p>
          <w:p>
            <w:pPr>
              <w:spacing w:line="259" w:lineRule="auto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</w:rPr>
              <w:t xml:space="preserve">Pantera 100, </w:t>
            </w:r>
            <w:r>
              <w:rPr>
                <w:rFonts w:asciiTheme="majorHAnsi" w:hAnsiTheme="majorHAnsi" w:cstheme="majorHAnsi"/>
              </w:rPr>
              <w:t xml:space="preserve">21405 </w:t>
            </w:r>
            <w:r>
              <w:rPr>
                <w:rFonts w:asciiTheme="majorHAnsi" w:hAnsiTheme="majorHAnsi" w:cstheme="majorHAnsi"/>
              </w:rPr>
              <w:t xml:space="preserve">Milna                                                                                                      </w:t>
            </w:r>
            <w:r>
              <w:rPr>
                <w:rFonts w:asciiTheme="majorHAnsi" w:hAnsiTheme="majorHAnsi" w:cstheme="majorHAnsi"/>
              </w:rPr>
              <w:t xml:space="preserve">KLASA:     </w:t>
            </w:r>
            <w:r>
              <w:rPr>
                <w:rFonts w:asciiTheme="majorHAnsi" w:hAnsiTheme="majorHAnsi" w:cstheme="majorHAnsi"/>
                <w:noProof/>
                <w:lang w:val="en-US"/>
              </w:rPr>
              <w:t xml:space="preserve">112-02/26-02/4</w:t>
            </w:r>
          </w:p>
          <w:p>
            <w:p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Theme="majorHAnsi" w:hAnsiTheme="majorHAnsi" w:cstheme="majorHAnsi"/>
              </w:rPr>
              <w:t xml:space="preserve">URBROJ:  </w:t>
            </w:r>
            <w:r>
              <w:rPr>
                <w:rFonts w:asciiTheme="majorHAnsi" w:hAnsiTheme="majorHAnsi" w:cstheme="majorHAnsi"/>
                <w:noProof/>
              </w:rPr>
              <w:t xml:space="preserve">2104-24-26-1</w:t>
            </w:r>
            <w:r>
              <w:rPr>
                <w:rFonts w:asciiTheme="majorHAnsi" w:hAnsiTheme="majorHAnsi" w:cstheme="majorHAnsi"/>
              </w:rPr>
              <w:t xml:space="preserve">                                                                                                           Milna, </w:t>
            </w:r>
            <w:r>
              <w:rPr>
                <w:rFonts w:asciiTheme="majorHAnsi" w:hAnsiTheme="majorHAnsi" w:cstheme="majorHAnsi"/>
              </w:rPr>
              <w:t xml:space="preserve">13.8</w:t>
            </w:r>
            <w:r>
              <w:rPr>
                <w:rFonts w:asciiTheme="majorHAnsi" w:hAnsiTheme="majorHAnsi" w:cstheme="majorHAnsi"/>
              </w:rPr>
              <w:t xml:space="preserve">.202</w:t>
            </w:r>
            <w:r>
              <w:rPr>
                <w:rFonts w:asciiTheme="majorHAnsi" w:hAnsiTheme="majorHAnsi" w:cstheme="majorHAnsi"/>
              </w:rPr>
              <w:t xml:space="preserve">6</w:t>
            </w:r>
            <w:r>
              <w:rPr>
                <w:rFonts w:asciiTheme="majorHAnsi" w:hAnsiTheme="majorHAnsi" w:cstheme="majorHAnsi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Na temelju čl.26. Zakona o predškolskom odgoju i obrazovanju (NN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10/97, 107/07, 94/13, 98/19, 57/22, 101/23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, 22/26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), Upravno vi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jeće Dječjeg vrtića Milna dana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13.8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.202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6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. godine donosi 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jc w:val="center"/>
        <w:rPr>
          <w:rFonts w:asciiTheme="majorHAnsi" w:hAnsiTheme="majorHAnsi" w:eastAsia="Times New Roman" w:cstheme="majorHAnsi"/>
          <w:b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O D L U K U</w:t>
      </w:r>
    </w:p>
    <w:p>
      <w:pPr>
        <w:spacing w:after="120" w:line="240" w:lineRule="auto"/>
        <w:jc w:val="center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o raspisivanju natječaja za prijam radnika u radni odnos:</w:t>
      </w:r>
    </w:p>
    <w:p>
      <w:pPr>
        <w:spacing w:after="120" w:line="240" w:lineRule="auto"/>
        <w:jc w:val="center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bCs/>
          <w:color w:val="333333"/>
          <w:lang w:eastAsia="hr-HR"/>
        </w:rPr>
        <w:t xml:space="preserve">1. Zdravstveni voditelj –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 izvršitelj/ica na neodređeno, nepuno radno vrijeme</w:t>
      </w:r>
      <w:r>
        <w:rPr>
          <w:rFonts w:asciiTheme="majorHAnsi" w:hAnsiTheme="majorHAnsi" w:eastAsia="Times New Roman" w:cstheme="majorHAnsi"/>
          <w:b/>
          <w:bCs/>
          <w:color w:val="333333"/>
          <w:lang w:eastAsia="hr-HR"/>
        </w:rPr>
        <w:t xml:space="preserve"> </w:t>
      </w:r>
      <w:r>
        <w:rPr>
          <w:rFonts w:asciiTheme="majorHAnsi" w:hAnsiTheme="majorHAnsi" w:eastAsia="Times New Roman" w:cstheme="majorHAnsi"/>
          <w:bCs/>
          <w:color w:val="333333"/>
          <w:lang w:eastAsia="hr-HR"/>
        </w:rPr>
        <w:t xml:space="preserve">(2 sata tjedno)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2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 Odgojitelj –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 izvršitelj/ica na određeno, puno radno vrijeme (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4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0 sati tjedno)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3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 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Pomoćnik za djecu s teškoćama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 –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 izvršitelj/ica na određeno,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ne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puno radno vrijeme (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2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0 sati tjedno)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4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 Pomoćnik za djecu s teškoćama –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 izvršitelj/ica na određeno, nepuno radno vrijeme (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15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sati tjedno)</w:t>
      </w:r>
    </w:p>
    <w:p>
      <w:pPr>
        <w:spacing w:after="120" w:line="240" w:lineRule="auto"/>
        <w:rPr>
          <w:rFonts w:asciiTheme="majorHAnsi" w:hAnsiTheme="majorHAnsi" w:eastAsia="Times New Roman" w:cstheme="majorHAnsi"/>
          <w:b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b/>
          <w:bCs/>
          <w:color w:val="333333"/>
          <w:lang w:eastAsia="hr-HR"/>
        </w:rPr>
      </w:pP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bCs/>
          <w:color w:val="333333"/>
          <w:lang w:eastAsia="hr-HR"/>
        </w:rPr>
        <w:t xml:space="preserve">Uvjeti za radno mjesto:</w:t>
      </w:r>
    </w:p>
    <w:p>
      <w:pPr>
        <w:numPr>
          <w:ilvl w:val="0"/>
          <w:numId w:val="5"/>
        </w:num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Prema članku 24.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i 24.a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Zakona o predškolskom odgoju i obrazovanju (NN 10/97, 107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/07, 94/13, 98/19,57/22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,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101/23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,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22/26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).</w:t>
      </w:r>
    </w:p>
    <w:p>
      <w:pPr>
        <w:numPr>
          <w:ilvl w:val="0"/>
          <w:numId w:val="5"/>
        </w:num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Radni odnos u Dječjem vrtiću ne može zasnovati osoba koja ima zapreke iz članka 25. Zakona o predškolskom odgoju i obrazovanju.</w:t>
      </w:r>
    </w:p>
    <w:p>
      <w:pPr>
        <w:spacing w:after="120" w:line="240" w:lineRule="auto"/>
        <w:rPr>
          <w:rFonts w:asciiTheme="majorHAnsi" w:hAnsiTheme="majorHAnsi" w:eastAsia="Times New Roman" w:cstheme="majorHAnsi"/>
          <w:b/>
          <w:bCs/>
          <w:color w:val="333333"/>
          <w:lang w:eastAsia="hr-HR"/>
        </w:rPr>
      </w:pPr>
    </w:p>
    <w:p>
      <w:p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bCs/>
          <w:color w:val="333333"/>
          <w:lang w:eastAsia="hr-HR"/>
        </w:rPr>
        <w:t xml:space="preserve">Kandidati uz vlastoručno potpisanu prijavu na natječaj prilažu:</w:t>
      </w:r>
    </w:p>
    <w:p>
      <w:pPr>
        <w:numPr>
          <w:ilvl w:val="0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životopis,</w:t>
      </w:r>
    </w:p>
    <w:p>
      <w:pPr>
        <w:numPr>
          <w:ilvl w:val="0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dokaz o hrvatskom državljanstvu,</w:t>
      </w:r>
    </w:p>
    <w:p>
      <w:pPr>
        <w:numPr>
          <w:ilvl w:val="0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dokaz o stečenoj stručnoj spremi,</w:t>
      </w:r>
    </w:p>
    <w:p>
      <w:pPr>
        <w:numPr>
          <w:ilvl w:val="0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dokaz o nepostojanju zapreka za zasnivanje radnog odnosa sukladno članku 25. Zakona o predškolskom odgoju i obrazovanju (ne starij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i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od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8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dana od dana objave natječaja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):</w:t>
      </w:r>
    </w:p>
    <w:p>
      <w:pPr>
        <w:numPr>
          <w:ilvl w:val="1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uvjerenje da se protiv kandidata ne vodi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postupak za kazneno djelo navedeno u čl. 25. 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st. 1.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Zakona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,</w:t>
      </w:r>
    </w:p>
    <w:p>
      <w:pPr>
        <w:numPr>
          <w:ilvl w:val="1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uvjerenje da se protiv kandidata ne vodi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postupak za prekršaj naveden u čl. 25.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st. 3.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Zakona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,</w:t>
      </w:r>
    </w:p>
    <w:p>
      <w:pPr>
        <w:numPr>
          <w:ilvl w:val="1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vlastoručno potpisanu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izjav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u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kandidata o nepostojanju zapreka iz čl. 25.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st. 9. Zakona,</w:t>
      </w:r>
    </w:p>
    <w:p>
      <w:pPr>
        <w:numPr>
          <w:ilvl w:val="1"/>
          <w:numId w:val="2"/>
        </w:numPr>
        <w:spacing w:after="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uvjerenje/potvrdu Zavoda za socijalni rad o neizricanju mjere za zaštitu dobrobiti djeteta prema čl. 25. st. 10. Zakona,</w:t>
      </w:r>
    </w:p>
    <w:p>
      <w:pPr>
        <w:numPr>
          <w:ilvl w:val="0"/>
          <w:numId w:val="2"/>
        </w:num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elektronički zapis/potvrdu o podacima evidentiranim u matičnoj evidenciji Hrvatskog zavoda za mirovinsko osiguranje iz kojeg je vidljiv trenutni radni status kandidata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(ne stariji od dana objave natječaja).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U skladu s člankom 13. Zakona o ravnopravnosti spolova (NN 82/08 i 69/17) prijaviti se mogu kandidati oba spola koji ispunjavaju uvjete. Izrazi iz teksta natječaja koji imaju rodno značenje koriste se neutralno i jednako su primjenjivi na muški i ženski rod.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Kandidati koji imaju pravo prednosti prema posebnom zakonu, dužni su u prijavi na natječaj pozvati se na to pravo te imaju prednost u odnosu na ostale kandidate samo pod jednakim uvjetima.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Kandidati koji se pozivaju na pravo prednosti pri zapošljavanju sukladno članku 102. Zakona o hrvatskim braniteljima iz Domovinskog rata i članovima njihovih obitelji (NN 121/17, 98/19, 84/21), uz prijavu na natječaj dužni su priložiti, osim dokaza o ispunjavanju traženih uvjeta, i sve potrebne dokaze dostupne na poveznici Ministarstva hrvatskih branitelja: </w:t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yperlink"/>
          <w:rFonts w:asciiTheme="majorHAnsi" w:hAnsiTheme="majorHAnsi" w:eastAsia="Times New Roman" w:cstheme="majorHAnsi"/>
          <w:spacing w:val="-20"/>
          <w:lang w:eastAsia="hr-HR"/>
        </w:rPr>
        <w:t xml:space="preserve">https://branitelji.gov.hr/UserDocsImages//dokumenti/Nikola//popis%20dokaza%20za%</w:t>
      </w:r>
      <w:r>
        <w:rPr>
          <w:rStyle w:val="Hyperlink"/>
          <w:rFonts w:asciiTheme="majorHAnsi" w:hAnsiTheme="majorHAnsi" w:eastAsia="Times New Roman" w:cstheme="majorHAnsi"/>
          <w:spacing w:val="-20"/>
          <w:lang w:eastAsia="hr-HR"/>
        </w:rPr>
        <w:br/>
      </w:r>
      <w:r>
        <w:rPr>
          <w:rStyle w:val="Hyperlink"/>
          <w:rFonts w:asciiTheme="majorHAnsi" w:hAnsiTheme="majorHAnsi" w:eastAsia="Times New Roman" w:cstheme="majorHAnsi"/>
          <w:spacing w:val="-20"/>
          <w:lang w:eastAsia="hr-HR"/>
        </w:rPr>
        <w:t xml:space="preserve">20ostvarivanje%20prava%20prednosti%20pri%20zapo%C5%A1ljavanju-%20ZOHBDR%202021.pdf</w:t>
      </w:r>
      <w:r>
        <w:rPr/>
        <w:fldChar w:fldCharType="end"/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Kandidati koji se pozivaju na pravo prednosti pri zapošljavanju u skladu s člankom 48.f Zakona o /zaštiti vojnih i civilnih invalida rata (NN 33/92, 57/92, 77/92, 27/93, 58/93, 2/94, 76/94, 108/95, 108/96, 82/01, 103/03, 148/13, 98/19), uz prijavu na natječaj dužni su, osim dokaza o ispunjavanju traženih uvjeta, priložiti i rješenje, odnosno potvrdu iz koje je vidljivo takvo pravo.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Kandidati koji se pozivaju na pravo prednosti pri zapošljavanju sukladno članku 48. Zakona o civilnim stradalnicima iz Domovinskog rata (NN 84/21), uz prijavu na natječaj dužni su priložiti, osim dokaza o ispunjavanju traženih uvjeta, i sve potrebne dokaze iz članka 49. navedenog Zakona, dostupne na poveznici Ministarstva hrvatskih branitelja:</w:t>
      </w:r>
      <w:r>
        <w:rPr>
          <w:rFonts w:asciiTheme="majorHAnsi" w:hAnsiTheme="majorHAnsi" w:eastAsia="Times New Roman" w:cstheme="majorHAnsi"/>
          <w:color w:val="333333"/>
          <w:lang w:eastAsia="hr-HR"/>
        </w:rPr>
        <w:br/>
      </w: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yperlink"/>
          <w:rFonts w:asciiTheme="majorHAnsi" w:hAnsiTheme="majorHAnsi" w:eastAsia="Times New Roman" w:cstheme="majorHAnsi"/>
          <w:spacing w:val="-20"/>
          <w:lang w:eastAsia="hr-HR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Kandidati koji se pozivaju na pravo prednosti pri zapošljavanju u skladu s člankom 9. Zakona o profesionalnoj rehabilitaciji i zapošljavanju osoba s invaliditetom (NN 157/13, 152/14, 39/18, 32/20), u prijavi na natječaj dužni su pozvati se na to pravo te priložiti sve dokaze o ispunjavanju traženih uvjeta, kao i dokaz o utvrđenom statusu osobe s invaliditetom.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Prijavom na natječaj kandidati su izričito suglasni da Dječji vrtić Milna može prikupljati, koristiti i dalje obrađivati podatke u svrhu provedbe natječajnog postupka sukladno odredbama Opće uredbe o zaštiti podataka i Zakona o provedbi Opće uredbe o zaštiti podataka (NN 42/18).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Rok za podnošenje prijava je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1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0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 dana od dana objavljivanja natječaja. Nepravodobne i nepotpune prijave neće se razmatrati.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O rezultatima natječaja kandidati će biti obaviješteni u zakonskom roku.</w:t>
      </w:r>
    </w:p>
    <w:p>
      <w:pPr>
        <w:spacing w:after="120" w:line="240" w:lineRule="auto"/>
        <w:rPr>
          <w:rFonts w:asciiTheme="majorHAnsi" w:hAnsiTheme="majorHAnsi" w:eastAsia="Times New Roman" w:cstheme="majorHAnsi"/>
          <w:b/>
          <w:color w:val="333333"/>
          <w:lang w:eastAsia="hr-HR"/>
        </w:rPr>
      </w:pP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Natječaj traje od 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14.8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.202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6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 do 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2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4.8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.2026</w:t>
      </w:r>
      <w:r>
        <w:rPr>
          <w:rFonts w:asciiTheme="majorHAnsi" w:hAnsiTheme="majorHAnsi" w:eastAsia="Times New Roman" w:cstheme="majorHAnsi"/>
          <w:b/>
          <w:color w:val="333333"/>
          <w:lang w:eastAsia="hr-HR"/>
        </w:rPr>
        <w:t xml:space="preserve">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Prijave na natječaj s obveznom dokumentacijom dostavljaju se </w:t>
      </w: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osobno ili poštom </w:t>
      </w:r>
      <w:bookmarkStart w:id="3" w:name="_GoBack"/>
      <w:bookmarkEnd w:id="3"/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na adresu: Dječji vrtić Milna, Pantera 100, 21405 Milna – s naznakom “Za natječaj”.</w:t>
      </w:r>
    </w:p>
    <w:p>
      <w:pPr>
        <w:spacing w:after="120" w:line="240" w:lineRule="auto"/>
        <w:rPr>
          <w:rFonts w:asciiTheme="majorHAnsi" w:hAnsiTheme="majorHAnsi" w:eastAsia="Times New Roman" w:cstheme="majorHAnsi"/>
          <w:color w:val="333333"/>
          <w:lang w:eastAsia="hr-HR"/>
        </w:rPr>
      </w:pPr>
    </w:p>
    <w:p>
      <w:pPr>
        <w:spacing w:after="0" w:line="240" w:lineRule="auto"/>
        <w:jc w:val="right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PREDSJEDNICA UPRAVNOG VIJEĆA:</w:t>
      </w:r>
    </w:p>
    <w:p>
      <w:pPr>
        <w:spacing w:after="120" w:line="240" w:lineRule="auto"/>
        <w:jc w:val="right"/>
        <w:rPr>
          <w:rFonts w:asciiTheme="majorHAnsi" w:hAnsiTheme="majorHAnsi" w:eastAsia="Times New Roman" w:cstheme="majorHAnsi"/>
          <w:color w:val="333333"/>
          <w:lang w:eastAsia="hr-HR"/>
        </w:rPr>
      </w:pPr>
      <w:r>
        <w:rPr>
          <w:rFonts w:asciiTheme="majorHAnsi" w:hAnsiTheme="majorHAnsi" w:eastAsia="Times New Roman" w:cstheme="majorHAnsi"/>
          <w:color w:val="333333"/>
          <w:lang w:eastAsia="hr-HR"/>
        </w:rPr>
        <w:t xml:space="preserve">Dragana Poklepović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charset w:val="238"/>
    <w:family w:val="modern"/>
    <w:pitch w:val="fixed"/>
    <w:sig w:usb0="E0002EFF" w:usb1="C0007843" w:usb2="00000009" w:usb3="00000000" w:csb0="000001FF" w:csb1="00000000"/>
  </w:font>
  <w:font w:name="Times New Roman">
    <w:charset w:val="238"/>
    <w:family w:val="roman"/>
    <w:pitch w:val="variable"/>
    <w:sig w:usb0="E0002EFF" w:usb1="C000785B" w:usb2="00000009" w:usb3="00000000" w:csb0="000001FF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000247B" w:usb2="00000009" w:usb3="00000000" w:csb0="000001FF" w:csb1="00000000"/>
  </w:font>
  <w:font w:name="Calibri Light">
    <w:charset w:val="238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60C36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1">
    <w:nsid w:val="07D52517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2">
    <w:nsid w:val="087E72D3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A206A8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4">
    <w:nsid w:val="19C42413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33650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6">
    <w:nsid w:val="4150496F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7">
    <w:nsid w:val="52E72490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8">
    <w:nsid w:val="61DE4E21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9">
    <w:nsid w:val="65B4056D"/>
    <w:lvl w:ilvl="0">
      <w:start w:val="1"/>
      <w:numFmt w:val="bullet"/>
      <w:suff w:val="tab"/>
      <w:lvlText w:val=""/>
      <w:pPr>
        <w:spacing/>
        <w:ind w:left="1776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321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93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37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609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536" w:hanging="360"/>
      </w:pPr>
      <w:rPr>
        <w:rFonts w:ascii="Wingdings" w:hAnsi="Wingdings" w:hint="default"/>
      </w:rPr>
    </w:lvl>
  </w:abstractNum>
  <w:abstractNum w:abstractNumId="10">
    <w:nsid w:val="6CD326B7"/>
    <w:lvl w:ilvl="0">
      <w:start w:val="1"/>
      <w:numFmt w:val="decimal"/>
      <w:suff w:val="tab"/>
      <w:lvlText w:val="%1."/>
      <w:pPr>
        <w:tabs>
          <w:tab w:val="num" w:pos="720"/>
        </w:tabs>
        <w:spacing/>
        <w:ind w:left="720" w:hanging="360"/>
      </w:pPr>
      <w:rPr/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suff w:val="tab"/>
      <w:lvlText w:val="%3."/>
      <w:pPr>
        <w:tabs>
          <w:tab w:val="num" w:pos="2160"/>
        </w:tabs>
        <w:spacing/>
        <w:ind w:left="2160" w:hanging="360"/>
      </w:pPr>
      <w:rPr/>
    </w:lvl>
    <w:lvl w:ilvl="3">
      <w:start w:val="1"/>
      <w:numFmt w:val="decimal"/>
      <w:suff w:val="tab"/>
      <w:lvlText w:val="%4."/>
      <w:pPr>
        <w:tabs>
          <w:tab w:val="num" w:pos="2880"/>
        </w:tabs>
        <w:spacing/>
        <w:ind w:left="2880" w:hanging="360"/>
      </w:pPr>
      <w:rPr/>
    </w:lvl>
    <w:lvl w:ilvl="4">
      <w:start w:val="1"/>
      <w:numFmt w:val="decimal"/>
      <w:suff w:val="tab"/>
      <w:lvlText w:val="%5."/>
      <w:pPr>
        <w:tabs>
          <w:tab w:val="num" w:pos="3600"/>
        </w:tabs>
        <w:spacing/>
        <w:ind w:left="3600" w:hanging="360"/>
      </w:pPr>
      <w:rPr/>
    </w:lvl>
    <w:lvl w:ilvl="5">
      <w:start w:val="1"/>
      <w:numFmt w:val="decimal"/>
      <w:suff w:val="tab"/>
      <w:lvlText w:val="%6."/>
      <w:pPr>
        <w:tabs>
          <w:tab w:val="num" w:pos="4320"/>
        </w:tabs>
        <w:spacing/>
        <w:ind w:left="4320" w:hanging="360"/>
      </w:pPr>
      <w:rPr/>
    </w:lvl>
    <w:lvl w:ilvl="6">
      <w:start w:val="1"/>
      <w:numFmt w:val="decimal"/>
      <w:suff w:val="tab"/>
      <w:lvlText w:val="%7."/>
      <w:pPr>
        <w:tabs>
          <w:tab w:val="num" w:pos="5040"/>
        </w:tabs>
        <w:spacing/>
        <w:ind w:left="5040" w:hanging="360"/>
      </w:pPr>
      <w:rPr/>
    </w:lvl>
    <w:lvl w:ilvl="7">
      <w:start w:val="1"/>
      <w:numFmt w:val="decimal"/>
      <w:suff w:val="tab"/>
      <w:lvlText w:val="%8."/>
      <w:pPr>
        <w:tabs>
          <w:tab w:val="num" w:pos="5760"/>
        </w:tabs>
        <w:spacing/>
        <w:ind w:left="5760" w:hanging="360"/>
      </w:pPr>
      <w:rPr/>
    </w:lvl>
    <w:lvl w:ilvl="8">
      <w:start w:val="1"/>
      <w:numFmt w:val="decimal"/>
      <w:suff w:val="tab"/>
      <w:lvlText w:val="%9."/>
      <w:pPr>
        <w:tabs>
          <w:tab w:val="num" w:pos="6480"/>
        </w:tabs>
        <w:spacing/>
        <w:ind w:left="6480" w:hanging="360"/>
      </w:pPr>
      <w:rPr/>
    </w:lvl>
  </w:abstractNum>
  <w:abstractNum w:abstractNumId="11">
    <w:nsid w:val="73ED218E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B704FC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tab"/>
      <w:lvlText w:val=""/>
      <w:pPr>
        <w:tabs>
          <w:tab w:val="num" w:pos="2880"/>
        </w:tabs>
        <w:spacing/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tab"/>
      <w:lvlText w:val=""/>
      <w:pPr>
        <w:tabs>
          <w:tab w:val="num" w:pos="3600"/>
        </w:tabs>
        <w:spacing/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tab"/>
      <w:lvlText w:val=""/>
      <w:pPr>
        <w:tabs>
          <w:tab w:val="num" w:pos="5040"/>
        </w:tabs>
        <w:spacing/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tab"/>
      <w:lvlText w:val=""/>
      <w:pPr>
        <w:tabs>
          <w:tab w:val="num" w:pos="5760"/>
        </w:tabs>
        <w:spacing/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3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/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</TotalTime>
  <Pages>2</Pages>
  <Words>858</Words>
  <Characters>4897</Characters>
  <Application>Microsoft Office Word</Application>
  <DocSecurity>0</DocSecurity>
  <Lines>40</Lines>
  <Paragraphs>11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3</cp:revision>
  <dcterms:created xsi:type="dcterms:W3CDTF">2026-08-14T08:30:00Z</dcterms:created>
  <dcterms:modified xsi:type="dcterms:W3CDTF">2026-08-14T08:34:00Z</dcterms:modified>
</cp:coreProperties>
</file>